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firstLine="0" w:firstLineChars="0"/>
        <w:textAlignment w:val="auto"/>
        <w:rPr>
          <w:rFonts w:hint="eastAsia"/>
          <w:color w:val="auto"/>
          <w:highlight w:val="none"/>
        </w:rPr>
      </w:pPr>
      <w:bookmarkStart w:id="0" w:name="_Toc31134"/>
      <w:r>
        <w:rPr>
          <w:rFonts w:hint="eastAsia"/>
          <w:color w:val="auto"/>
          <w:highlight w:val="none"/>
        </w:rPr>
        <w:t>评</w:t>
      </w:r>
      <w:r>
        <w:rPr>
          <w:rFonts w:hint="eastAsia"/>
          <w:color w:val="auto"/>
          <w:highlight w:val="none"/>
          <w:lang w:val="en-US" w:eastAsia="zh-CN"/>
        </w:rPr>
        <w:t>审打</w:t>
      </w:r>
      <w:r>
        <w:rPr>
          <w:rFonts w:hint="eastAsia"/>
          <w:color w:val="auto"/>
          <w:highlight w:val="none"/>
        </w:rPr>
        <w:t>分表</w:t>
      </w:r>
      <w:bookmarkEnd w:id="0"/>
    </w:p>
    <w:p>
      <w:pPr>
        <w:ind w:firstLine="0" w:firstLineChars="0"/>
        <w:rPr>
          <w:rFonts w:hint="default" w:ascii="宋体" w:hAnsi="宋体" w:eastAsia="宋体"/>
          <w:color w:val="auto"/>
          <w:sz w:val="22"/>
          <w:szCs w:val="22"/>
          <w:highlight w:val="none"/>
          <w:lang w:val="en-US" w:eastAsia="zh-CN"/>
        </w:rPr>
      </w:pPr>
      <w:r>
        <w:rPr>
          <w:rFonts w:hint="eastAsia" w:ascii="宋体" w:hAnsi="宋体"/>
          <w:color w:val="auto"/>
          <w:sz w:val="22"/>
          <w:szCs w:val="22"/>
          <w:highlight w:val="none"/>
        </w:rPr>
        <w:t>项目名称：海南省安宁医院中西医科护士站改造装修工程项目        项目编号：</w:t>
      </w:r>
      <w:r>
        <w:rPr>
          <w:rFonts w:hint="eastAsia" w:ascii="宋体" w:hAnsi="宋体"/>
          <w:color w:val="auto"/>
          <w:sz w:val="22"/>
          <w:szCs w:val="22"/>
          <w:highlight w:val="none"/>
          <w:lang w:val="en-US" w:eastAsia="zh-CN"/>
        </w:rPr>
        <w:t>HNSANYY2024001</w:t>
      </w:r>
    </w:p>
    <w:tbl>
      <w:tblPr>
        <w:tblStyle w:val="3"/>
        <w:tblW w:w="98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4"/>
        <w:gridCol w:w="1868"/>
        <w:gridCol w:w="5523"/>
        <w:gridCol w:w="696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</w:tblPrEx>
        <w:trPr>
          <w:trHeight w:val="497" w:hRule="atLeast"/>
        </w:trPr>
        <w:tc>
          <w:tcPr>
            <w:tcW w:w="75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highlight w:val="none"/>
              </w:rPr>
              <w:t>序号</w:t>
            </w:r>
          </w:p>
        </w:tc>
        <w:tc>
          <w:tcPr>
            <w:tcW w:w="18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highlight w:val="none"/>
              </w:rPr>
              <w:t>评审内容</w:t>
            </w:r>
          </w:p>
        </w:tc>
        <w:tc>
          <w:tcPr>
            <w:tcW w:w="552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highlight w:val="none"/>
              </w:rPr>
              <w:t>评分标准及分值</w:t>
            </w:r>
          </w:p>
        </w:tc>
        <w:tc>
          <w:tcPr>
            <w:tcW w:w="69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highlight w:val="none"/>
              </w:rPr>
              <w:t>满分</w:t>
            </w:r>
          </w:p>
        </w:tc>
        <w:tc>
          <w:tcPr>
            <w:tcW w:w="9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b w:val="0"/>
                <w:bCs w:val="0"/>
                <w:color w:val="auto"/>
                <w:highlight w:val="none"/>
              </w:rPr>
            </w:pPr>
            <w:r>
              <w:rPr>
                <w:rFonts w:hint="eastAsia" w:ascii="宋体" w:hAnsi="宋体"/>
                <w:b w:val="0"/>
                <w:bCs w:val="0"/>
                <w:color w:val="auto"/>
                <w:highlight w:val="none"/>
              </w:rPr>
              <w:t>供应商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施工方案与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技术措施</w:t>
            </w:r>
          </w:p>
        </w:tc>
        <w:tc>
          <w:tcPr>
            <w:tcW w:w="5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根据供应商提供的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施工方案与技术措施，包括不仅限于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施工重点与难点及绿色施工的总体安排、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施工工艺、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施工机械、对施工难点的理解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等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  <w:t>进行综合评审：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）根据供应商提供的施工方案内容各项措施详尽完善、布局规划科学合理、可针对性强，完全满足需求</w:t>
            </w:r>
            <w:bookmarkStart w:id="1" w:name="_GoBack"/>
            <w:bookmarkEnd w:id="1"/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的，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  <w:t>得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）根据供应商提供的施工方案内容各项措施完善、布局规划合理、可针对性较强，满足需求的，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  <w:t>得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15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）根据供应商提供的施工方案内容有一定合理性，但针对性和重点不明确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  <w:t>，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相关服务措施不够具体，基本满足用户需求的，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  <w:t>得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11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）根据供应商提供的施工方案内容脱离实际情况、布局规划不合理、针对性不强，不满足需求的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  <w:t>，得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）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  <w:t>未提供不得分。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/>
                <w:color w:val="auto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9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1" w:hRule="atLeast"/>
        </w:trPr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2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工程进度计划与措施</w:t>
            </w:r>
          </w:p>
        </w:tc>
        <w:tc>
          <w:tcPr>
            <w:tcW w:w="5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根据供应商提供的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工程进度计划与措施，包括不仅限于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整体的施工进度计划、关键节点的控制措施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  <w:t>等进行综合评审：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）根据供应商提供的进度计划措施方案内容各项措施详尽完善、规划科学合理、可针对性强，完全满足需求的，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  <w:t>得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）根据供应商提供的进度计划措施方案内容各项措施完善、规划合理、可针对性较强，满足需求的，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  <w:t>得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）根据供应商提供的进度计划措施方案内容有一定合理性，但针对性和重点不明确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  <w:t>，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相关服务措施不够具体，基本满足用户需求的，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  <w:t>得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）根据供应商提供的进度计划措施方案内容脱离实际情况、规划不合理、针对性不强，不满足需求的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  <w:t>，得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）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  <w:t>未提供不得分。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75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3</w:t>
            </w:r>
          </w:p>
        </w:tc>
        <w:tc>
          <w:tcPr>
            <w:tcW w:w="18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质量管理体系与措施</w:t>
            </w:r>
          </w:p>
        </w:tc>
        <w:tc>
          <w:tcPr>
            <w:tcW w:w="552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宋体" w:hAnsi="宋体" w:eastAsia="宋体"/>
                <w:color w:val="auto"/>
                <w:sz w:val="18"/>
                <w:szCs w:val="18"/>
                <w:highlight w:val="none"/>
                <w:lang w:val="en-GB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根据供应商提供的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质量管理体系与措施，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包括不仅限于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组织机构形式、质量监控系统、联络协调系统、工程质量及质量保证措施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等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  <w:t>进行综合评审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）根据供应商提供的质量管理体系与措施方案内容各项措施详尽完善、布局规划科学合理、可针对性强，完全满足需求的，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  <w:t>得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）根据供应商提供的质量管理体系与措施方案内容各项措施完善、布局规划合理、可针对性较强，满足需求的，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  <w:t>得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）根据供应商提供的质量管理体系与措施方案内容有一定合理性，但针对性和重点不明确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  <w:t>，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相关服务措施不够具体，基本满足用户需求的，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  <w:t>得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）根据供应商提供的质量管理体系与措施方案内容脱离实际情况、布局规划不合理、针对性不强，不满足需求的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  <w:t>，得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）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  <w:t>未提供不得分。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</w:trPr>
        <w:tc>
          <w:tcPr>
            <w:tcW w:w="754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4</w:t>
            </w:r>
          </w:p>
        </w:tc>
        <w:tc>
          <w:tcPr>
            <w:tcW w:w="186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安全管理体系与措施</w:t>
            </w:r>
          </w:p>
        </w:tc>
        <w:tc>
          <w:tcPr>
            <w:tcW w:w="552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根据供应商提供的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安全管理体系与措施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包括不仅限于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施工安全生产保障体系、施工安全生产目标、现场管理人员安全生产职责、周边环境和施工工艺制定的防护措施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等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  <w:t>进行综合评审：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）根据供应商提供的安全管理体系与措施方案内容各项措施详尽完善、布局规划科学合理、可针对性强，完全满足需求的，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  <w:t>得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）根据供应商提供的安全管理体系与措施方案内容各项措施完善、布局规划合理、可针对性较强，满足需求的，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  <w:t>得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）根据供应商提供的安全管理体系与措施方案内容有一定合理性，但针对性和重点不明确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  <w:t>，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相关服务措施不够具体，基本满足用户需求的，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  <w:t>得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）根据供应商提供的安全管理体系与措施方案内容脱离实际情况、布局规划不合理、针对性不强，不满足需求的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  <w:t>，得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）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  <w:t>未提供不得分。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5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环境保护管理体系与措施</w:t>
            </w:r>
          </w:p>
        </w:tc>
        <w:tc>
          <w:tcPr>
            <w:tcW w:w="5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  <w:t>根据供应商提供的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环境保护管理体系与措施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包括不仅限于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临时设施、现场道路、材料堆放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  <w:lang w:val="en-US" w:eastAsia="zh-CN"/>
              </w:rPr>
              <w:t>等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  <w:t>进行综合评审：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）根据供应商提供的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环境保护管理体系与措施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方案内容各项措施详尽完善、布局规划科学合理、可针对性强，完全满足需求的，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  <w:t>得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）根据供应商提供的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环境保护管理体系与措施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方案内容各项措施完善、布局规划合理、可针对性较强，满足需求的，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  <w:t>得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）根据供应商提供的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环境保护管理体系与措施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方案内容有一定合理性，但针对性和重点不明确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  <w:t>，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相关服务措施不够具体，基本满足用户需求的，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  <w:t>得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  <w:t>分；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）根据供应商提供的</w:t>
            </w:r>
            <w:r>
              <w:rPr>
                <w:rFonts w:hint="eastAsia"/>
                <w:color w:val="auto"/>
                <w:sz w:val="18"/>
                <w:szCs w:val="18"/>
                <w:highlight w:val="none"/>
              </w:rPr>
              <w:t>环境保护管理体系与措施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方案内容脱离实际情况、布局规划不合理、针对性不强，不满足需求的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  <w:t>，得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  <w:t>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（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 w:eastAsia="zh-CN"/>
              </w:rPr>
              <w:t>）</w:t>
            </w: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GB"/>
              </w:rPr>
              <w:t>未提供不得分。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9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6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业绩</w:t>
            </w:r>
          </w:p>
        </w:tc>
        <w:tc>
          <w:tcPr>
            <w:tcW w:w="5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供应商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2021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年1月1日至今具有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建筑工程或</w:t>
            </w:r>
            <w:r>
              <w:rPr>
                <w:rFonts w:hint="eastAsia" w:ascii="宋体" w:hAnsi="宋体" w:cs="宋体"/>
                <w:color w:val="auto"/>
                <w:sz w:val="18"/>
                <w:szCs w:val="18"/>
                <w:highlight w:val="none"/>
              </w:rPr>
              <w:t>建筑装修装饰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工程项目业绩每个得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5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分，本项满分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20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证明材料：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提供合同复印件加盖单位公章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eastAsia="zh-CN" w:bidi="ar"/>
              </w:rPr>
              <w:t>，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val="en-US" w:eastAsia="zh-CN" w:bidi="ar"/>
              </w:rPr>
              <w:t>时间以合同签订时间为准。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highlight w:val="none"/>
                <w:lang w:val="en-US" w:eastAsia="zh-CN"/>
              </w:rPr>
              <w:t>20</w:t>
            </w:r>
          </w:p>
        </w:tc>
        <w:tc>
          <w:tcPr>
            <w:tcW w:w="9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/>
                <w:color w:val="auto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7</w:t>
            </w:r>
          </w:p>
        </w:tc>
        <w:tc>
          <w:tcPr>
            <w:tcW w:w="18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价格分</w:t>
            </w:r>
          </w:p>
        </w:tc>
        <w:tc>
          <w:tcPr>
            <w:tcW w:w="55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</w:rPr>
              <w:t>满足竞争性磋商文件要求且磋商价格最低的磋商报价为评审基准价，其价格分为满分，价格分统一按照下列公式计算：供应商报价得分=(评审基准价／最后磋商报价)×价格权值×100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highlight w:val="none"/>
                <w:lang w:bidi="ar"/>
              </w:rPr>
              <w:t>注：在评审过程中，竞争性磋商小组发现供应商的报价明显低于其他磋商报价，或者在设有标底时明显低于标底，使得其磋商报价可能低于其个别成本的，应当要求该供应商作出书面说明并提供相应的证明材料。供应商不能合理说明或者不能提供相应证明材料的，由竞争性磋商小组认定该供应商以低于成本报价竞标，其投标作无效响应处理。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ascii="宋体" w:hAnsi="宋体" w:cs="宋体"/>
                <w:color w:val="auto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宋体" w:hAnsi="宋体"/>
                <w:color w:val="auto"/>
                <w:sz w:val="21"/>
                <w:szCs w:val="21"/>
                <w:highlight w:val="none"/>
              </w:rPr>
              <w:t>0</w:t>
            </w:r>
          </w:p>
        </w:tc>
        <w:tc>
          <w:tcPr>
            <w:tcW w:w="9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7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</w:p>
        </w:tc>
        <w:tc>
          <w:tcPr>
            <w:tcW w:w="739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eastAsia="宋体"/>
                <w:color w:val="auto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highlight w:val="none"/>
                <w:lang w:val="en-US" w:eastAsia="zh-CN"/>
              </w:rPr>
              <w:t>合计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jc w:val="center"/>
              <w:textAlignment w:val="auto"/>
              <w:rPr>
                <w:rFonts w:hint="eastAsia" w:ascii="宋体" w:hAnsi="宋体" w:cs="宋体"/>
                <w:color w:val="auto"/>
                <w:kern w:val="0"/>
                <w:highlight w:val="none"/>
              </w:rPr>
            </w:pPr>
            <w:r>
              <w:rPr>
                <w:rFonts w:hint="eastAsia" w:ascii="宋体" w:hAnsi="宋体"/>
                <w:color w:val="auto"/>
                <w:highlight w:val="none"/>
              </w:rPr>
              <w:t>100</w:t>
            </w:r>
          </w:p>
        </w:tc>
        <w:tc>
          <w:tcPr>
            <w:tcW w:w="9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0" w:firstLineChars="0"/>
              <w:textAlignment w:val="auto"/>
              <w:rPr>
                <w:rFonts w:hint="eastAsia" w:ascii="宋体" w:hAnsi="宋体"/>
                <w:color w:val="auto"/>
                <w:highlight w:val="none"/>
              </w:rPr>
            </w:pPr>
          </w:p>
        </w:tc>
      </w:tr>
    </w:tbl>
    <w:p/>
    <w:sectPr>
      <w:pgSz w:w="11906" w:h="16838"/>
      <w:pgMar w:top="960" w:right="986" w:bottom="998" w:left="8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3YmQ5MTViNjhmZjEwYmQ2MjAwMjgzOGExOGY3MzEifQ=="/>
  </w:docVars>
  <w:rsids>
    <w:rsidRoot w:val="13FF26CB"/>
    <w:rsid w:val="13FF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60" w:lineRule="auto"/>
      <w:ind w:firstLine="602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360" w:lineRule="auto"/>
      <w:jc w:val="center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2024-01-15T00:21:00Z</dcterms:created>
  <dc:creator>爆炸的榴莲</dc:creator>
  <cp:lastModifiedBy>爆炸的榴莲</cp:lastModifiedBy>
  <dcterms:modified xsi:type="dcterms:W3CDTF">2024-01-15T01:19:46Z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ADEE7DA668404904A1756F93F7D76F15_11</vt:lpwstr>
  </property>
</Properties>
</file>